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0" w:type="dxa"/>
        <w:tblInd w:w="-545" w:type="dxa"/>
        <w:tblLayout w:type="fixed"/>
        <w:tblLook w:val="0400" w:firstRow="0" w:lastRow="0" w:firstColumn="0" w:lastColumn="0" w:noHBand="0" w:noVBand="1"/>
      </w:tblPr>
      <w:tblGrid>
        <w:gridCol w:w="990"/>
        <w:gridCol w:w="990"/>
        <w:gridCol w:w="540"/>
        <w:gridCol w:w="720"/>
        <w:gridCol w:w="450"/>
        <w:gridCol w:w="905"/>
        <w:gridCol w:w="780"/>
        <w:gridCol w:w="1110"/>
        <w:gridCol w:w="675"/>
        <w:gridCol w:w="1050"/>
        <w:gridCol w:w="720"/>
        <w:gridCol w:w="1095"/>
        <w:gridCol w:w="705"/>
      </w:tblGrid>
      <w:tr w:rsidR="004E5959" w:rsidRPr="00BF42E2" w14:paraId="66867B36" w14:textId="77777777" w:rsidTr="00554730">
        <w:trPr>
          <w:trHeight w:val="692"/>
        </w:trPr>
        <w:tc>
          <w:tcPr>
            <w:tcW w:w="107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2BB40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highlight w:val="white"/>
              </w:rPr>
              <w:t>Supplemental Table 3: A comparison between discharge disposition and poststroke disability  in cases with and without atrial fibrillation according to treatment plans: The result of adjusted logistics regression</w:t>
            </w:r>
          </w:p>
        </w:tc>
      </w:tr>
      <w:tr w:rsidR="004E5959" w:rsidRPr="00BF42E2" w14:paraId="7A828E0C" w14:textId="77777777" w:rsidTr="00554730">
        <w:trPr>
          <w:trHeight w:val="262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1B536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Groups*</w:t>
            </w:r>
          </w:p>
        </w:tc>
        <w:tc>
          <w:tcPr>
            <w:tcW w:w="4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1B65B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Discharge disposition</w:t>
            </w:r>
          </w:p>
        </w:tc>
        <w:tc>
          <w:tcPr>
            <w:tcW w:w="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D7D73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Modified Rankin Scale</w:t>
            </w:r>
          </w:p>
        </w:tc>
      </w:tr>
      <w:tr w:rsidR="004E5959" w:rsidRPr="00BF42E2" w14:paraId="0A2E7DFE" w14:textId="77777777" w:rsidTr="00554730">
        <w:trPr>
          <w:trHeight w:val="563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06A6D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FD268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Hospice/SNF/</w:t>
            </w:r>
          </w:p>
          <w:p w14:paraId="1947AE89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Death</w:t>
            </w:r>
          </w:p>
          <w:p w14:paraId="6DFF6D92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B75E4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In-hospital Death</w:t>
            </w:r>
          </w:p>
          <w:p w14:paraId="6786B5C5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82FD7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Hospice/SNF</w:t>
            </w:r>
          </w:p>
          <w:p w14:paraId="0D502CD1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3FC01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A77A766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0-2 v. 3-6</w:t>
            </w:r>
          </w:p>
          <w:p w14:paraId="5B5DE99E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82C17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0-2 v. 3-5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03217" w14:textId="77777777" w:rsidR="004E5959" w:rsidRPr="00BF42E2" w:rsidRDefault="004E5959" w:rsidP="00554730">
            <w:pPr>
              <w:spacing w:after="0"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0-2 v. 6 (death)</w:t>
            </w:r>
          </w:p>
        </w:tc>
      </w:tr>
      <w:tr w:rsidR="004E5959" w:rsidRPr="00BF42E2" w14:paraId="7D5FB355" w14:textId="77777777" w:rsidTr="00554730">
        <w:trPr>
          <w:trHeight w:val="69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42063" w14:textId="77777777" w:rsidR="004E5959" w:rsidRPr="00BF42E2" w:rsidRDefault="004E5959" w:rsidP="00554730">
            <w:pPr>
              <w:widowControl w:val="0"/>
              <w:spacing w:after="0" w:line="276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7B48C3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A32FA9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6869E4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B347A3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D02310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DDF767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68F50D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8DA3E7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D5A6E4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7047BA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7C8EAD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OR (CI)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A5019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</w:t>
            </w:r>
          </w:p>
        </w:tc>
      </w:tr>
      <w:tr w:rsidR="004E5959" w:rsidRPr="00BF42E2" w14:paraId="624DE648" w14:textId="77777777" w:rsidTr="00554730">
        <w:trPr>
          <w:trHeight w:val="69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FC56E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No AF +EVT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  <w:vertAlign w:val="superscript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F5E90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1.93 (0.95-3.95)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FA5444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7F858D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1.8 (0.6-5.4)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34BB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EB7421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2.04 (0.91-4.59)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D303FB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0.428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4CA6E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0.68 (0.37-1.26)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ABA2FD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98B12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0.63 (0.33-1.21)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D12A7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0.822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6F676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0.69 (0.25-1.94)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A07E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5019ECF1" w14:textId="77777777" w:rsidTr="00554730">
        <w:trPr>
          <w:trHeight w:val="69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84F4A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No AF+ thrombolysis+ EVT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56C2BE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 (0.31-3.24)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79CC5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0ECD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1.17 (0.21-6.68)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ABAA28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ABB27E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1.02 (0.25-4.15)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B968B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B1541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0.62 (0.24-1.56)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6B58C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387412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0.6 (0.22-1.62)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C9CAD3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76FD42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0.59 (0.14-2.43)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DEA983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4FC90BF1" w14:textId="77777777" w:rsidTr="00554730">
        <w:trPr>
          <w:trHeight w:val="69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B80A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AF+ EVT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D80CFB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2.65 (1.12-6.25)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76DF9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0.129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6D492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2.35 (0.67-8.26)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9B2838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0.915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62ACC9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2.73 (1.05-7.07)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8B569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0.194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85A1D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0.83 (0.37-1.85)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9E9DC9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17D1FB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0.7 (0.3-1.65)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DF593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6F29F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1.44 (0.38-5.42)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8BF8A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2C6E5324" w14:textId="77777777" w:rsidTr="00554730">
        <w:trPr>
          <w:trHeight w:val="69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BEB39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AF+ thrombolysis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  <w:vertAlign w:val="superscript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BDF46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0.81 (0.46-1.41)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1133C1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FB5D3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0.79 (0.33-1.91)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33C24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FDEBA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0.77 (0.41-1.45)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00585E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4ADCFA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0.56 (0.34-0.91)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0C1998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0.098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EAD96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0.58 (0.34-0.98)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965DB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0.214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96D414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0.48 (0.24-0.96)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52FADB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0.196</w:t>
            </w:r>
          </w:p>
        </w:tc>
      </w:tr>
      <w:tr w:rsidR="004E5959" w:rsidRPr="00BF42E2" w14:paraId="2B2C7FB2" w14:textId="77777777" w:rsidTr="00554730">
        <w:trPr>
          <w:trHeight w:val="69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84CAB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AF+ thrombolysis +  EVT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  <w:vertAlign w:val="superscript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2205A0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1.19 (0.4-3.49)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3EAC3B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623CDC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1.12 (0.21-5.85)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C58D34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C6D019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1.21 (0.36-4.09)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9F825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216B99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1.59 (0.55-4.62)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29A35A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6C7435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3.13 (0.73-13.55)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B2FE27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0.614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D0366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0.78 (0.22-2.75)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0822D1" w14:textId="77777777" w:rsidR="004E5959" w:rsidRPr="00BF42E2" w:rsidRDefault="004E5959" w:rsidP="00554730">
            <w:pPr>
              <w:spacing w:after="0" w:line="360" w:lineRule="auto"/>
              <w:rPr>
                <w:rFonts w:asciiTheme="minorBidi" w:eastAsia="Arial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eastAsia="Arial" w:hAnsiTheme="minorBidi" w:cstheme="minorBidi"/>
                <w:color w:val="FF0000"/>
                <w:sz w:val="16"/>
                <w:szCs w:val="16"/>
              </w:rPr>
              <w:t>1</w:t>
            </w:r>
          </w:p>
        </w:tc>
      </w:tr>
      <w:tr w:rsidR="004E5959" w:rsidRPr="00BF42E2" w14:paraId="4EAC9009" w14:textId="77777777" w:rsidTr="00554730">
        <w:trPr>
          <w:trHeight w:val="1180"/>
        </w:trPr>
        <w:tc>
          <w:tcPr>
            <w:tcW w:w="107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2BAC59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*Reference group: no AF, treated only with thrombolysis; adjusted for age, sex, smoking, vascular risk factors and comorbidities</w:t>
            </w:r>
            <w:r w:rsidRPr="000203D8">
              <w:rPr>
                <w:rFonts w:asciiTheme="minorBidi" w:hAnsiTheme="minorBidi" w:cstheme="minorBidi"/>
                <w:color w:val="FF0000"/>
                <w:sz w:val="16"/>
                <w:szCs w:val="16"/>
                <w:highlight w:val="white"/>
              </w:rPr>
              <w:t>, anticoagulants use,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 xml:space="preserve"> severity of stroke at baseline and baseline disability.</w:t>
            </w:r>
          </w:p>
          <w:p w14:paraId="577FC69F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>P-values adjusted via Bonferroni correction.</w:t>
            </w:r>
          </w:p>
          <w:p w14:paraId="5BF39801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BF42E2">
              <w:rPr>
                <w:rFonts w:asciiTheme="minorBidi" w:hAnsiTheme="minorBidi" w:cstheme="minorBidi"/>
                <w:b/>
                <w:sz w:val="16"/>
                <w:szCs w:val="16"/>
                <w:highlight w:val="white"/>
              </w:rPr>
              <w:t>Abbreviation:</w:t>
            </w:r>
            <w:r w:rsidRPr="00BF42E2">
              <w:rPr>
                <w:rFonts w:asciiTheme="minorBidi" w:hAnsiTheme="minorBidi" w:cstheme="minorBidi"/>
                <w:sz w:val="16"/>
                <w:szCs w:val="16"/>
                <w:highlight w:val="white"/>
              </w:rPr>
              <w:t xml:space="preserve"> AF: Atrial fibrillation; EVT: endovascular therapy; OR (CI): Odds ratio (95% confidence interval); SNF: skilled nursing facility; TICI: Thrombolysis in cerebral infarction. </w:t>
            </w:r>
          </w:p>
          <w:p w14:paraId="2B1B3AD4" w14:textId="77777777" w:rsidR="004E5959" w:rsidRPr="00BF42E2" w:rsidRDefault="004E5959" w:rsidP="00554730">
            <w:pPr>
              <w:spacing w:after="0"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62503469" w14:textId="77777777" w:rsidR="00E40699" w:rsidRDefault="00E40699" w:rsidP="00DF6149"/>
    <w:sectPr w:rsidR="00E40699" w:rsidSect="00C83FC7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5CBF" w14:textId="77777777" w:rsidR="0030404D" w:rsidRDefault="0030404D">
      <w:pPr>
        <w:spacing w:after="0" w:line="240" w:lineRule="auto"/>
      </w:pPr>
      <w:r>
        <w:separator/>
      </w:r>
    </w:p>
  </w:endnote>
  <w:endnote w:type="continuationSeparator" w:id="0">
    <w:p w14:paraId="71B25ECA" w14:textId="77777777" w:rsidR="0030404D" w:rsidRDefault="0030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EBB7" w14:textId="77777777" w:rsidR="003F67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23</w:t>
    </w:r>
    <w:r>
      <w:rPr>
        <w:color w:val="000000"/>
      </w:rPr>
      <w:fldChar w:fldCharType="end"/>
    </w:r>
  </w:p>
  <w:p w14:paraId="2DA78F11" w14:textId="77777777" w:rsidR="003F67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20E7" w14:textId="77777777" w:rsidR="0030404D" w:rsidRDefault="0030404D">
      <w:pPr>
        <w:spacing w:after="0" w:line="240" w:lineRule="auto"/>
      </w:pPr>
      <w:r>
        <w:separator/>
      </w:r>
    </w:p>
  </w:footnote>
  <w:footnote w:type="continuationSeparator" w:id="0">
    <w:p w14:paraId="2CD2FFD0" w14:textId="77777777" w:rsidR="0030404D" w:rsidRDefault="00304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59"/>
    <w:rsid w:val="0030404D"/>
    <w:rsid w:val="004E5959"/>
    <w:rsid w:val="00CA6AE1"/>
    <w:rsid w:val="00DF6149"/>
    <w:rsid w:val="00E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3312F"/>
  <w15:chartTrackingRefBased/>
  <w15:docId w15:val="{61EC7034-44E6-44B4-B5A7-110F36E3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59"/>
    <w:pPr>
      <w:spacing w:after="160" w:line="259" w:lineRule="auto"/>
    </w:pPr>
    <w:rPr>
      <w:rFonts w:ascii="Calibri" w:hAnsi="Calibri" w:cs="Calibri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E5959"/>
  </w:style>
  <w:style w:type="paragraph" w:styleId="Header">
    <w:name w:val="header"/>
    <w:basedOn w:val="Normal"/>
    <w:link w:val="HeaderChar"/>
    <w:uiPriority w:val="99"/>
    <w:unhideWhenUsed/>
    <w:rsid w:val="00CA6A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E1"/>
    <w:rPr>
      <w:rFonts w:ascii="Calibri" w:hAnsi="Calibri" w:cs="Calibri"/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6A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E1"/>
    <w:rPr>
      <w:rFonts w:ascii="Calibri" w:hAnsi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Wei Robin</cp:lastModifiedBy>
  <cp:revision>3</cp:revision>
  <dcterms:created xsi:type="dcterms:W3CDTF">2022-10-13T04:04:00Z</dcterms:created>
  <dcterms:modified xsi:type="dcterms:W3CDTF">2022-10-16T03:38:00Z</dcterms:modified>
</cp:coreProperties>
</file>